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4A0B4">
      <w:pPr>
        <w:widowControl/>
        <w:spacing w:line="560" w:lineRule="exact"/>
        <w:jc w:val="left"/>
        <w:rPr>
          <w:rFonts w:hint="default" w:ascii="方正小标宋简体" w:hAnsi="new" w:eastAsia="方正小标宋简体" w:cs="仿宋_GB2312"/>
          <w:sz w:val="32"/>
          <w:szCs w:val="32"/>
          <w:lang w:val="en-US" w:eastAsia="zh-CN"/>
        </w:rPr>
      </w:pPr>
      <w:r>
        <w:rPr>
          <w:rFonts w:hint="eastAsia" w:ascii="方正小标宋简体" w:hAnsi="new" w:eastAsia="方正小标宋简体" w:cs="仿宋_GB2312"/>
          <w:sz w:val="32"/>
          <w:szCs w:val="32"/>
          <w:lang w:val="en-US" w:eastAsia="zh-CN"/>
        </w:rPr>
        <w:t>附件1</w:t>
      </w:r>
    </w:p>
    <w:p w14:paraId="19DE9C79">
      <w:pPr>
        <w:widowControl/>
        <w:spacing w:line="560" w:lineRule="exact"/>
        <w:jc w:val="center"/>
        <w:rPr>
          <w:rFonts w:hint="eastAsia" w:ascii="方正小标宋简体" w:hAnsi="new" w:eastAsia="方正小标宋简体" w:cs="仿宋_GB2312"/>
          <w:sz w:val="32"/>
          <w:szCs w:val="32"/>
        </w:rPr>
      </w:pPr>
      <w:r>
        <w:rPr>
          <w:rFonts w:hint="eastAsia" w:ascii="方正小标宋简体" w:hAnsi="new" w:eastAsia="方正小标宋简体" w:cs="仿宋_GB2312"/>
          <w:sz w:val="32"/>
          <w:szCs w:val="32"/>
        </w:rPr>
        <w:t>学术论文选题及要求</w:t>
      </w:r>
    </w:p>
    <w:p w14:paraId="1FDDDB65">
      <w:pPr>
        <w:pStyle w:val="2"/>
        <w:adjustRightInd w:val="0"/>
        <w:snapToGrid w:val="0"/>
        <w:spacing w:line="380" w:lineRule="exact"/>
        <w:ind w:left="220" w:firstLine="420"/>
        <w:rPr>
          <w:rFonts w:ascii="new" w:hAnsi="new" w:eastAsia="黑体" w:cs="仿宋_GB2312"/>
          <w:lang w:eastAsia="zh-CN"/>
        </w:rPr>
      </w:pPr>
      <w:r>
        <w:rPr>
          <w:rFonts w:hint="eastAsia" w:ascii="new" w:hAnsi="黑体" w:eastAsia="黑体" w:cs="仿宋_GB2312"/>
        </w:rPr>
        <w:t>一、参考选题</w:t>
      </w:r>
    </w:p>
    <w:p w14:paraId="4654E657">
      <w:pPr>
        <w:widowControl/>
        <w:shd w:val="clear" w:color="auto" w:fill="FFFFFF"/>
        <w:spacing w:line="380" w:lineRule="exact"/>
        <w:ind w:firstLine="840" w:firstLineChars="350"/>
        <w:rPr>
          <w:rFonts w:ascii="new" w:hAnsi="new" w:eastAsia="楷体_GB2312" w:cs="仿宋_GB2312"/>
          <w:sz w:val="24"/>
          <w:szCs w:val="24"/>
        </w:rPr>
      </w:pPr>
      <w:r>
        <w:rPr>
          <w:rFonts w:ascii="new" w:hAnsi="new" w:eastAsia="楷体_GB2312" w:cs="仿宋_GB2312"/>
          <w:sz w:val="24"/>
          <w:szCs w:val="24"/>
        </w:rPr>
        <w:t>（</w:t>
      </w:r>
      <w:r>
        <w:rPr>
          <w:rFonts w:hint="eastAsia" w:ascii="new" w:hAnsi="new" w:eastAsia="楷体_GB2312" w:cs="仿宋_GB2312"/>
          <w:sz w:val="24"/>
          <w:szCs w:val="24"/>
        </w:rPr>
        <w:t>一</w:t>
      </w:r>
      <w:r>
        <w:rPr>
          <w:rFonts w:ascii="new" w:hAnsi="new" w:eastAsia="楷体_GB2312" w:cs="仿宋_GB2312"/>
          <w:sz w:val="24"/>
          <w:szCs w:val="24"/>
        </w:rPr>
        <w:t>）</w:t>
      </w:r>
      <w:r>
        <w:rPr>
          <w:rFonts w:hint="eastAsia" w:ascii="new" w:hAnsi="new" w:eastAsia="楷体_GB2312" w:cs="仿宋_GB2312"/>
          <w:sz w:val="24"/>
          <w:szCs w:val="24"/>
        </w:rPr>
        <w:t>弘扬科学家精神专题研究</w:t>
      </w:r>
    </w:p>
    <w:p w14:paraId="581F1C82">
      <w:pPr>
        <w:pStyle w:val="2"/>
        <w:adjustRightInd w:val="0"/>
        <w:snapToGrid w:val="0"/>
        <w:spacing w:line="380" w:lineRule="exact"/>
        <w:ind w:firstLine="480" w:firstLineChars="200"/>
        <w:rPr>
          <w:rFonts w:hint="eastAsia" w:ascii="仿宋_GB2312" w:hAnsi="new" w:eastAsia="仿宋_GB2312" w:cs="仿宋_GB2312"/>
        </w:rPr>
      </w:pPr>
      <w:r>
        <w:rPr>
          <w:rFonts w:hint="eastAsia" w:ascii="仿宋_GB2312" w:hAnsi="new" w:eastAsia="仿宋_GB2312" w:cs="仿宋_GB2312"/>
        </w:rPr>
        <w:t>1.习近平总书记关于科学家精神的重要论述研究</w:t>
      </w:r>
    </w:p>
    <w:p w14:paraId="1E9497DB">
      <w:pPr>
        <w:pStyle w:val="2"/>
        <w:adjustRightInd w:val="0"/>
        <w:snapToGrid w:val="0"/>
        <w:spacing w:line="380" w:lineRule="exact"/>
        <w:ind w:firstLine="480" w:firstLineChars="200"/>
        <w:rPr>
          <w:rFonts w:hint="eastAsia" w:ascii="仿宋_GB2312" w:hAnsi="new" w:eastAsia="仿宋_GB2312" w:cs="仿宋_GB2312"/>
        </w:rPr>
      </w:pPr>
      <w:r>
        <w:rPr>
          <w:rFonts w:hint="eastAsia" w:ascii="仿宋_GB2312" w:hAnsi="new" w:eastAsia="仿宋_GB2312" w:cs="仿宋_GB2312"/>
        </w:rPr>
        <w:t>2.关于科技、教育、人才的论述研究</w:t>
      </w:r>
    </w:p>
    <w:p w14:paraId="446B034D">
      <w:pPr>
        <w:pStyle w:val="2"/>
        <w:adjustRightInd w:val="0"/>
        <w:snapToGrid w:val="0"/>
        <w:spacing w:line="380" w:lineRule="exact"/>
        <w:ind w:firstLine="480" w:firstLineChars="200"/>
        <w:rPr>
          <w:rFonts w:hint="eastAsia" w:ascii="仿宋_GB2312" w:hAnsi="new" w:eastAsia="仿宋_GB2312" w:cs="仿宋_GB2312"/>
        </w:rPr>
      </w:pPr>
      <w:r>
        <w:rPr>
          <w:rFonts w:hint="eastAsia" w:ascii="仿宋_GB2312" w:hAnsi="new" w:eastAsia="仿宋_GB2312" w:cs="仿宋_GB2312"/>
        </w:rPr>
        <w:t>3.科学家精神与新质生产力培养研究</w:t>
      </w:r>
    </w:p>
    <w:p w14:paraId="7BDC661B">
      <w:pPr>
        <w:pStyle w:val="2"/>
        <w:adjustRightInd w:val="0"/>
        <w:snapToGrid w:val="0"/>
        <w:spacing w:line="380" w:lineRule="exact"/>
        <w:ind w:firstLine="480" w:firstLineChars="200"/>
        <w:rPr>
          <w:rFonts w:hint="eastAsia" w:ascii="仿宋_GB2312" w:hAnsi="new" w:eastAsia="仿宋_GB2312" w:cs="仿宋_GB2312"/>
        </w:rPr>
      </w:pPr>
      <w:r>
        <w:rPr>
          <w:rFonts w:hint="eastAsia" w:ascii="仿宋_GB2312" w:hAnsi="new" w:eastAsia="仿宋_GB2312" w:cs="仿宋_GB2312"/>
        </w:rPr>
        <w:t>4.科学家精神的时代意义与内涵建设研究</w:t>
      </w:r>
    </w:p>
    <w:p w14:paraId="5F82E420">
      <w:pPr>
        <w:pStyle w:val="2"/>
        <w:adjustRightInd w:val="0"/>
        <w:snapToGrid w:val="0"/>
        <w:spacing w:line="380" w:lineRule="exact"/>
        <w:ind w:firstLine="480" w:firstLineChars="200"/>
        <w:rPr>
          <w:rFonts w:hint="eastAsia" w:ascii="仿宋_GB2312" w:hAnsi="new" w:eastAsia="仿宋_GB2312" w:cs="仿宋_GB2312"/>
        </w:rPr>
      </w:pPr>
      <w:r>
        <w:rPr>
          <w:rFonts w:hint="eastAsia" w:ascii="仿宋_GB2312" w:hAnsi="new" w:eastAsia="仿宋_GB2312" w:cs="仿宋_GB2312"/>
        </w:rPr>
        <w:t>5.科学家精神与建设上海人才教育高地研究</w:t>
      </w:r>
    </w:p>
    <w:p w14:paraId="7909FFDA">
      <w:pPr>
        <w:pStyle w:val="2"/>
        <w:adjustRightInd w:val="0"/>
        <w:snapToGrid w:val="0"/>
        <w:spacing w:line="380" w:lineRule="exact"/>
        <w:ind w:firstLine="480" w:firstLineChars="200"/>
        <w:rPr>
          <w:rFonts w:hint="eastAsia" w:ascii="仿宋_GB2312" w:hAnsi="new" w:eastAsia="仿宋_GB2312" w:cs="仿宋_GB2312"/>
        </w:rPr>
      </w:pPr>
      <w:r>
        <w:rPr>
          <w:rFonts w:hint="eastAsia" w:ascii="仿宋_GB2312" w:hAnsi="new" w:eastAsia="仿宋_GB2312" w:cs="仿宋_GB2312"/>
        </w:rPr>
        <w:t>6.科学家精神促进科技自立自强研究</w:t>
      </w:r>
    </w:p>
    <w:p w14:paraId="799729F6">
      <w:pPr>
        <w:pStyle w:val="2"/>
        <w:adjustRightInd w:val="0"/>
        <w:snapToGrid w:val="0"/>
        <w:spacing w:line="380" w:lineRule="exact"/>
        <w:ind w:firstLine="480" w:firstLineChars="200"/>
        <w:rPr>
          <w:rFonts w:ascii="仿宋_GB2312" w:hAnsi="new" w:eastAsia="仿宋_GB2312" w:cs="仿宋_GB2312"/>
          <w:lang w:eastAsia="zh-CN"/>
        </w:rPr>
      </w:pPr>
      <w:r>
        <w:rPr>
          <w:rFonts w:hint="eastAsia" w:ascii="仿宋_GB2312" w:hAnsi="new" w:eastAsia="仿宋_GB2312" w:cs="仿宋_GB2312"/>
        </w:rPr>
        <w:t>7.新时代研究生群体科学家精神培育研究</w:t>
      </w:r>
    </w:p>
    <w:p w14:paraId="1473D340">
      <w:pPr>
        <w:pStyle w:val="2"/>
        <w:adjustRightInd w:val="0"/>
        <w:snapToGrid w:val="0"/>
        <w:spacing w:line="380" w:lineRule="exact"/>
        <w:ind w:firstLine="480" w:firstLineChars="200"/>
        <w:rPr>
          <w:rFonts w:hint="eastAsia" w:ascii="仿宋_GB2312" w:hAnsi="new" w:eastAsia="仿宋_GB2312" w:cs="仿宋_GB2312"/>
        </w:rPr>
      </w:pPr>
      <w:r>
        <w:rPr>
          <w:rFonts w:hint="eastAsia" w:ascii="仿宋_GB2312" w:hAnsi="new" w:eastAsia="仿宋_GB2312" w:cs="仿宋_GB2312"/>
        </w:rPr>
        <w:t>8.科学家精神融入卓越工程师培养路径研究</w:t>
      </w:r>
    </w:p>
    <w:p w14:paraId="46B7C8F7">
      <w:pPr>
        <w:widowControl/>
        <w:shd w:val="clear" w:color="auto" w:fill="FFFFFF"/>
        <w:spacing w:line="380" w:lineRule="exact"/>
        <w:ind w:firstLine="840" w:firstLineChars="350"/>
        <w:rPr>
          <w:rFonts w:ascii="new" w:hAnsi="new" w:eastAsia="楷体_GB2312" w:cs="仿宋_GB2312"/>
          <w:sz w:val="24"/>
          <w:szCs w:val="24"/>
        </w:rPr>
      </w:pPr>
      <w:r>
        <w:rPr>
          <w:rFonts w:ascii="new" w:hAnsi="new" w:eastAsia="楷体_GB2312" w:cs="仿宋_GB2312"/>
          <w:sz w:val="24"/>
          <w:szCs w:val="24"/>
        </w:rPr>
        <w:t>（</w:t>
      </w:r>
      <w:r>
        <w:rPr>
          <w:rFonts w:hint="eastAsia" w:ascii="new" w:hAnsi="new" w:eastAsia="楷体_GB2312" w:cs="仿宋_GB2312"/>
          <w:sz w:val="24"/>
          <w:szCs w:val="24"/>
        </w:rPr>
        <w:t>二</w:t>
      </w:r>
      <w:r>
        <w:rPr>
          <w:rFonts w:ascii="new" w:hAnsi="new" w:eastAsia="楷体_GB2312" w:cs="仿宋_GB2312"/>
          <w:sz w:val="24"/>
          <w:szCs w:val="24"/>
        </w:rPr>
        <w:t>）</w:t>
      </w:r>
      <w:r>
        <w:rPr>
          <w:rFonts w:hint="eastAsia" w:ascii="new" w:hAnsi="new" w:eastAsia="楷体_GB2312" w:cs="仿宋_GB2312"/>
          <w:sz w:val="24"/>
          <w:szCs w:val="24"/>
        </w:rPr>
        <w:t>研究生学风建设、</w:t>
      </w:r>
      <w:r>
        <w:rPr>
          <w:rFonts w:ascii="new" w:hAnsi="new" w:eastAsia="楷体_GB2312" w:cs="仿宋_GB2312"/>
          <w:sz w:val="24"/>
          <w:szCs w:val="24"/>
        </w:rPr>
        <w:t>学风传承</w:t>
      </w:r>
      <w:r>
        <w:rPr>
          <w:rFonts w:hint="eastAsia" w:ascii="new" w:hAnsi="new" w:eastAsia="楷体_GB2312" w:cs="仿宋_GB2312"/>
          <w:sz w:val="24"/>
          <w:szCs w:val="24"/>
        </w:rPr>
        <w:t>专题研究</w:t>
      </w:r>
    </w:p>
    <w:p w14:paraId="137FEB06">
      <w:pPr>
        <w:pStyle w:val="2"/>
        <w:adjustRightInd w:val="0"/>
        <w:snapToGrid w:val="0"/>
        <w:spacing w:line="380" w:lineRule="exact"/>
        <w:ind w:firstLine="480" w:firstLineChars="200"/>
        <w:rPr>
          <w:rFonts w:hint="eastAsia" w:ascii="仿宋_GB2312" w:hAnsi="new" w:eastAsia="仿宋_GB2312" w:cs="仿宋_GB2312"/>
        </w:rPr>
      </w:pPr>
      <w:r>
        <w:rPr>
          <w:rFonts w:hint="eastAsia" w:ascii="仿宋_GB2312" w:hAnsi="new" w:eastAsia="仿宋_GB2312" w:cs="仿宋_GB2312"/>
        </w:rPr>
        <w:t>1.</w:t>
      </w:r>
      <w:r>
        <w:rPr>
          <w:rFonts w:hint="eastAsia" w:ascii="仿宋_GB2312" w:hAnsi="new" w:eastAsia="仿宋_GB2312" w:cs="仿宋_GB2312"/>
          <w:lang w:eastAsia="zh-CN"/>
        </w:rPr>
        <w:t xml:space="preserve"> </w:t>
      </w:r>
      <w:r>
        <w:rPr>
          <w:rFonts w:hint="eastAsia" w:ascii="仿宋_GB2312" w:hAnsi="new" w:eastAsia="仿宋_GB2312" w:cs="仿宋_GB2312"/>
        </w:rPr>
        <w:t xml:space="preserve">研究生学风建设问题现状及对策研究 </w:t>
      </w:r>
    </w:p>
    <w:p w14:paraId="313AA68F">
      <w:pPr>
        <w:pStyle w:val="2"/>
        <w:adjustRightInd w:val="0"/>
        <w:snapToGrid w:val="0"/>
        <w:spacing w:line="380" w:lineRule="exact"/>
        <w:ind w:firstLine="480" w:firstLineChars="200"/>
        <w:rPr>
          <w:rFonts w:hint="eastAsia" w:ascii="仿宋_GB2312" w:hAnsi="new" w:eastAsia="仿宋_GB2312" w:cs="仿宋_GB2312"/>
        </w:rPr>
      </w:pPr>
      <w:r>
        <w:rPr>
          <w:rFonts w:hint="eastAsia" w:ascii="仿宋_GB2312" w:hAnsi="new" w:eastAsia="仿宋_GB2312" w:cs="仿宋_GB2312"/>
        </w:rPr>
        <w:t>2. 高校党建与研究生学风建设协调建设研究</w:t>
      </w:r>
    </w:p>
    <w:p w14:paraId="34CEFD4C">
      <w:pPr>
        <w:pStyle w:val="2"/>
        <w:adjustRightInd w:val="0"/>
        <w:snapToGrid w:val="0"/>
        <w:spacing w:line="380" w:lineRule="exact"/>
        <w:ind w:firstLine="480" w:firstLineChars="200"/>
        <w:rPr>
          <w:rFonts w:hint="eastAsia" w:ascii="仿宋_GB2312" w:hAnsi="new" w:eastAsia="仿宋_GB2312" w:cs="仿宋_GB2312"/>
        </w:rPr>
      </w:pPr>
      <w:r>
        <w:rPr>
          <w:rFonts w:hint="eastAsia" w:ascii="仿宋_GB2312" w:hAnsi="new" w:eastAsia="仿宋_GB2312" w:cs="仿宋_GB2312"/>
        </w:rPr>
        <w:t>3. 研究生学风建设长效机制研究</w:t>
      </w:r>
    </w:p>
    <w:p w14:paraId="4C71E408">
      <w:pPr>
        <w:pStyle w:val="2"/>
        <w:adjustRightInd w:val="0"/>
        <w:snapToGrid w:val="0"/>
        <w:spacing w:line="380" w:lineRule="exact"/>
        <w:ind w:firstLine="480" w:firstLineChars="200"/>
        <w:rPr>
          <w:rFonts w:hint="eastAsia" w:ascii="仿宋_GB2312" w:hAnsi="new" w:eastAsia="仿宋_GB2312" w:cs="仿宋_GB2312"/>
        </w:rPr>
      </w:pPr>
      <w:r>
        <w:rPr>
          <w:rFonts w:hint="eastAsia" w:ascii="仿宋_GB2312" w:hAnsi="new" w:eastAsia="仿宋_GB2312" w:cs="仿宋_GB2312"/>
        </w:rPr>
        <w:t>4. 研究生学风建设的数字化赋能建设研究</w:t>
      </w:r>
    </w:p>
    <w:p w14:paraId="2AFFBC3F">
      <w:pPr>
        <w:pStyle w:val="2"/>
        <w:adjustRightInd w:val="0"/>
        <w:snapToGrid w:val="0"/>
        <w:spacing w:line="380" w:lineRule="exact"/>
        <w:ind w:firstLine="480" w:firstLineChars="200"/>
        <w:rPr>
          <w:rFonts w:hint="eastAsia" w:ascii="仿宋_GB2312" w:hAnsi="new" w:eastAsia="仿宋_GB2312" w:cs="仿宋_GB2312"/>
        </w:rPr>
      </w:pPr>
      <w:r>
        <w:rPr>
          <w:rFonts w:hint="eastAsia" w:ascii="仿宋_GB2312" w:hAnsi="new" w:eastAsia="仿宋_GB2312" w:cs="仿宋_GB2312"/>
        </w:rPr>
        <w:t>5. 辅导员工作视角下研究生学风建设研究</w:t>
      </w:r>
    </w:p>
    <w:p w14:paraId="16DDBD54">
      <w:pPr>
        <w:pStyle w:val="2"/>
        <w:adjustRightInd w:val="0"/>
        <w:snapToGrid w:val="0"/>
        <w:spacing w:line="380" w:lineRule="exact"/>
        <w:ind w:firstLine="480" w:firstLineChars="200"/>
        <w:rPr>
          <w:rFonts w:hint="eastAsia" w:ascii="仿宋_GB2312" w:hAnsi="new" w:eastAsia="仿宋_GB2312" w:cs="仿宋_GB2312"/>
        </w:rPr>
      </w:pPr>
      <w:r>
        <w:rPr>
          <w:rFonts w:hint="eastAsia" w:ascii="仿宋_GB2312" w:hAnsi="new" w:eastAsia="仿宋_GB2312" w:cs="仿宋_GB2312"/>
        </w:rPr>
        <w:t>6. 研究生分类培养视角下学风建设多元化路径研究</w:t>
      </w:r>
    </w:p>
    <w:p w14:paraId="72AF9B7C">
      <w:pPr>
        <w:pStyle w:val="2"/>
        <w:adjustRightInd w:val="0"/>
        <w:snapToGrid w:val="0"/>
        <w:spacing w:line="380" w:lineRule="exact"/>
        <w:ind w:firstLine="480" w:firstLineChars="200"/>
        <w:rPr>
          <w:rFonts w:hint="eastAsia" w:ascii="仿宋_GB2312" w:hAnsi="new" w:eastAsia="仿宋_GB2312" w:cs="仿宋_GB2312"/>
        </w:rPr>
      </w:pPr>
      <w:r>
        <w:rPr>
          <w:rFonts w:hint="eastAsia" w:ascii="仿宋_GB2312" w:hAnsi="new" w:eastAsia="仿宋_GB2312" w:cs="仿宋_GB2312"/>
        </w:rPr>
        <w:t>7. 研究生学术道德建设长效机制研究</w:t>
      </w:r>
    </w:p>
    <w:p w14:paraId="02F453DC">
      <w:pPr>
        <w:widowControl/>
        <w:shd w:val="clear" w:color="auto" w:fill="FFFFFF"/>
        <w:spacing w:line="380" w:lineRule="exact"/>
        <w:ind w:firstLine="840" w:firstLineChars="350"/>
        <w:rPr>
          <w:rFonts w:hint="eastAsia" w:ascii="new" w:hAnsi="new" w:eastAsia="楷体_GB2312" w:cs="仿宋_GB2312"/>
          <w:sz w:val="24"/>
          <w:szCs w:val="24"/>
        </w:rPr>
      </w:pPr>
      <w:r>
        <w:rPr>
          <w:rFonts w:hint="eastAsia" w:ascii="new" w:hAnsi="new" w:eastAsia="楷体_GB2312" w:cs="仿宋_GB2312"/>
          <w:sz w:val="24"/>
          <w:szCs w:val="24"/>
        </w:rPr>
        <w:t>（三）学术规范与研究生导学</w:t>
      </w:r>
      <w:r>
        <w:rPr>
          <w:rFonts w:ascii="new" w:hAnsi="new" w:eastAsia="楷体_GB2312" w:cs="仿宋_GB2312"/>
          <w:sz w:val="24"/>
          <w:szCs w:val="24"/>
        </w:rPr>
        <w:t>关系</w:t>
      </w:r>
      <w:r>
        <w:rPr>
          <w:rFonts w:hint="eastAsia" w:ascii="new" w:hAnsi="new" w:eastAsia="楷体_GB2312" w:cs="仿宋_GB2312"/>
          <w:sz w:val="24"/>
          <w:szCs w:val="24"/>
        </w:rPr>
        <w:t>专题</w:t>
      </w:r>
      <w:r>
        <w:rPr>
          <w:rFonts w:ascii="new" w:hAnsi="new" w:eastAsia="楷体_GB2312" w:cs="仿宋_GB2312"/>
          <w:sz w:val="24"/>
          <w:szCs w:val="24"/>
        </w:rPr>
        <w:t>研究</w:t>
      </w:r>
    </w:p>
    <w:p w14:paraId="76EF23D7">
      <w:pPr>
        <w:pStyle w:val="2"/>
        <w:adjustRightInd w:val="0"/>
        <w:snapToGrid w:val="0"/>
        <w:spacing w:line="380" w:lineRule="exact"/>
        <w:ind w:firstLine="480" w:firstLineChars="200"/>
        <w:rPr>
          <w:rFonts w:hint="eastAsia" w:ascii="仿宋_GB2312" w:hAnsi="new" w:eastAsia="仿宋_GB2312" w:cs="仿宋_GB2312"/>
        </w:rPr>
      </w:pPr>
      <w:r>
        <w:rPr>
          <w:rFonts w:hint="eastAsia" w:ascii="仿宋_GB2312" w:hAnsi="new" w:eastAsia="仿宋_GB2312" w:cs="仿宋_GB2312"/>
        </w:rPr>
        <w:t>1.“导学思政”视域下研究生学风建设实践研究</w:t>
      </w:r>
    </w:p>
    <w:p w14:paraId="67F338E2">
      <w:pPr>
        <w:pStyle w:val="2"/>
        <w:adjustRightInd w:val="0"/>
        <w:snapToGrid w:val="0"/>
        <w:spacing w:line="380" w:lineRule="exact"/>
        <w:ind w:firstLine="480" w:firstLineChars="200"/>
        <w:rPr>
          <w:rFonts w:hint="eastAsia" w:ascii="仿宋_GB2312" w:hAnsi="new" w:eastAsia="仿宋_GB2312" w:cs="仿宋_GB2312"/>
        </w:rPr>
      </w:pPr>
      <w:r>
        <w:rPr>
          <w:rFonts w:hint="eastAsia" w:ascii="仿宋_GB2312" w:hAnsi="new" w:eastAsia="仿宋_GB2312" w:cs="仿宋_GB2312"/>
        </w:rPr>
        <w:t>2. 学术规范与和谐导学关系的构建路径研究</w:t>
      </w:r>
    </w:p>
    <w:p w14:paraId="71B572C8">
      <w:pPr>
        <w:pStyle w:val="2"/>
        <w:adjustRightInd w:val="0"/>
        <w:snapToGrid w:val="0"/>
        <w:spacing w:line="380" w:lineRule="exact"/>
        <w:ind w:firstLine="480" w:firstLineChars="200"/>
        <w:rPr>
          <w:rFonts w:hint="eastAsia" w:ascii="仿宋_GB2312" w:hAnsi="new" w:eastAsia="仿宋_GB2312" w:cs="仿宋_GB2312"/>
        </w:rPr>
      </w:pPr>
      <w:r>
        <w:rPr>
          <w:rFonts w:hint="eastAsia" w:ascii="仿宋_GB2312" w:hAnsi="new" w:eastAsia="仿宋_GB2312" w:cs="仿宋_GB2312"/>
          <w:lang w:eastAsia="zh-CN"/>
        </w:rPr>
        <w:t>3</w:t>
      </w:r>
      <w:r>
        <w:rPr>
          <w:rFonts w:hint="eastAsia" w:ascii="仿宋_GB2312" w:hAnsi="new" w:eastAsia="仿宋_GB2312" w:cs="仿宋_GB2312"/>
        </w:rPr>
        <w:t>.</w:t>
      </w:r>
      <w:r>
        <w:rPr>
          <w:rFonts w:hint="eastAsia" w:ascii="仿宋_GB2312" w:hAnsi="new" w:eastAsia="仿宋_GB2312" w:cs="仿宋_GB2312"/>
          <w:lang w:eastAsia="zh-CN"/>
        </w:rPr>
        <w:t xml:space="preserve"> </w:t>
      </w:r>
      <w:r>
        <w:rPr>
          <w:rFonts w:hint="eastAsia" w:ascii="仿宋_GB2312" w:hAnsi="new" w:eastAsia="仿宋_GB2312" w:cs="仿宋_GB2312"/>
        </w:rPr>
        <w:t>学术规范</w:t>
      </w:r>
      <w:r>
        <w:rPr>
          <w:rFonts w:hint="eastAsia" w:ascii="仿宋_GB2312" w:hAnsi="new" w:eastAsia="仿宋_GB2312" w:cs="仿宋_GB2312"/>
          <w:lang w:eastAsia="zh-CN"/>
        </w:rPr>
        <w:t>与</w:t>
      </w:r>
      <w:r>
        <w:rPr>
          <w:rFonts w:hint="eastAsia" w:ascii="仿宋_GB2312" w:hAnsi="new" w:eastAsia="仿宋_GB2312" w:cs="仿宋_GB2312"/>
        </w:rPr>
        <w:t>研究生教育中导学关系发展及趋势研究</w:t>
      </w:r>
    </w:p>
    <w:p w14:paraId="080879E1">
      <w:pPr>
        <w:pStyle w:val="2"/>
        <w:adjustRightInd w:val="0"/>
        <w:snapToGrid w:val="0"/>
        <w:spacing w:line="380" w:lineRule="exact"/>
        <w:ind w:firstLine="480" w:firstLineChars="200"/>
        <w:rPr>
          <w:rFonts w:hint="eastAsia" w:ascii="仿宋_GB2312" w:hAnsi="new" w:eastAsia="仿宋_GB2312" w:cs="仿宋_GB2312"/>
        </w:rPr>
      </w:pPr>
      <w:r>
        <w:rPr>
          <w:rFonts w:hint="eastAsia" w:ascii="仿宋_GB2312" w:hAnsi="new" w:eastAsia="仿宋_GB2312" w:cs="仿宋_GB2312"/>
          <w:lang w:eastAsia="zh-CN"/>
        </w:rPr>
        <w:t>4</w:t>
      </w:r>
      <w:r>
        <w:rPr>
          <w:rFonts w:hint="eastAsia" w:ascii="仿宋_GB2312" w:hAnsi="new" w:eastAsia="仿宋_GB2312" w:cs="仿宋_GB2312"/>
        </w:rPr>
        <w:t>. 学术规范视域下高校导学关系现状、影响因素及对策研究</w:t>
      </w:r>
    </w:p>
    <w:p w14:paraId="34EAC140">
      <w:pPr>
        <w:pStyle w:val="2"/>
        <w:adjustRightInd w:val="0"/>
        <w:snapToGrid w:val="0"/>
        <w:spacing w:line="380" w:lineRule="exact"/>
        <w:ind w:firstLine="480" w:firstLineChars="200"/>
        <w:rPr>
          <w:rFonts w:hint="eastAsia" w:ascii="仿宋_GB2312" w:hAnsi="new" w:eastAsia="仿宋_GB2312" w:cs="仿宋_GB2312"/>
        </w:rPr>
      </w:pPr>
      <w:r>
        <w:rPr>
          <w:rFonts w:hint="eastAsia" w:ascii="仿宋_GB2312" w:hAnsi="new" w:eastAsia="仿宋_GB2312" w:cs="仿宋_GB2312"/>
        </w:rPr>
        <w:t>5. 学术规范视域下导学关系评价模型及其提升建议研究</w:t>
      </w:r>
    </w:p>
    <w:p w14:paraId="3075C0AA">
      <w:pPr>
        <w:pStyle w:val="2"/>
        <w:adjustRightInd w:val="0"/>
        <w:snapToGrid w:val="0"/>
        <w:spacing w:line="380" w:lineRule="exact"/>
        <w:ind w:firstLine="480" w:firstLineChars="200"/>
        <w:rPr>
          <w:rFonts w:hint="eastAsia" w:ascii="仿宋_GB2312" w:hAnsi="new" w:eastAsia="仿宋_GB2312" w:cs="仿宋_GB2312"/>
        </w:rPr>
      </w:pPr>
      <w:r>
        <w:rPr>
          <w:rFonts w:hint="eastAsia" w:ascii="仿宋_GB2312" w:hAnsi="new" w:eastAsia="仿宋_GB2312" w:cs="仿宋_GB2312"/>
        </w:rPr>
        <w:t>6. 以卓越工程师培养为导向的校企双导师协同育人机制研究</w:t>
      </w:r>
    </w:p>
    <w:p w14:paraId="71F102B6">
      <w:pPr>
        <w:widowControl/>
        <w:shd w:val="clear" w:color="auto" w:fill="FFFFFF"/>
        <w:spacing w:line="380" w:lineRule="exact"/>
        <w:ind w:firstLine="720" w:firstLineChars="300"/>
        <w:rPr>
          <w:rFonts w:ascii="new" w:hAnsi="new" w:eastAsia="楷体_GB2312" w:cs="仿宋_GB2312"/>
          <w:sz w:val="24"/>
          <w:szCs w:val="24"/>
        </w:rPr>
      </w:pPr>
      <w:r>
        <w:rPr>
          <w:rFonts w:hint="eastAsia" w:ascii="new" w:hAnsi="new" w:eastAsia="楷体_GB2312" w:cs="仿宋_GB2312"/>
          <w:sz w:val="24"/>
          <w:szCs w:val="24"/>
        </w:rPr>
        <w:t>（四）</w:t>
      </w:r>
      <w:r>
        <w:rPr>
          <w:rFonts w:ascii="new" w:hAnsi="new" w:eastAsia="楷体_GB2312" w:cs="仿宋_GB2312"/>
          <w:sz w:val="24"/>
          <w:szCs w:val="24"/>
        </w:rPr>
        <w:t>与论坛主题相关的其他选题</w:t>
      </w:r>
    </w:p>
    <w:p w14:paraId="4DA93042">
      <w:pPr>
        <w:pStyle w:val="2"/>
        <w:adjustRightInd w:val="0"/>
        <w:snapToGrid w:val="0"/>
        <w:spacing w:line="380" w:lineRule="exact"/>
        <w:ind w:firstLine="480" w:firstLineChars="200"/>
        <w:rPr>
          <w:rFonts w:ascii="new" w:hAnsi="new" w:eastAsia="黑体" w:cs="仿宋_GB2312"/>
        </w:rPr>
      </w:pPr>
      <w:r>
        <w:rPr>
          <w:rFonts w:hint="eastAsia" w:ascii="new" w:hAnsi="黑体" w:eastAsia="黑体" w:cs="仿宋_GB2312"/>
        </w:rPr>
        <w:t>二、基本结构</w:t>
      </w:r>
    </w:p>
    <w:p w14:paraId="01AF9FA6">
      <w:pPr>
        <w:pStyle w:val="2"/>
        <w:adjustRightInd w:val="0"/>
        <w:snapToGrid w:val="0"/>
        <w:spacing w:line="380" w:lineRule="exact"/>
        <w:ind w:firstLine="480" w:firstLineChars="200"/>
        <w:rPr>
          <w:rFonts w:ascii="new" w:hAnsi="new" w:eastAsia="仿宋_GB2312" w:cs="仿宋_GB2312"/>
        </w:rPr>
      </w:pPr>
      <w:r>
        <w:rPr>
          <w:rFonts w:hint="eastAsia" w:ascii="new" w:hAnsi="new" w:eastAsia="仿宋_GB2312" w:cs="仿宋_GB2312"/>
        </w:rPr>
        <w:t>本次论文结构包括前置部分、主体部分和结尾部分。</w:t>
      </w:r>
    </w:p>
    <w:p w14:paraId="5BC8950A">
      <w:pPr>
        <w:pStyle w:val="2"/>
        <w:adjustRightInd w:val="0"/>
        <w:snapToGrid w:val="0"/>
        <w:spacing w:line="380" w:lineRule="exact"/>
        <w:ind w:firstLine="480" w:firstLineChars="200"/>
        <w:rPr>
          <w:rFonts w:ascii="new" w:hAnsi="new" w:eastAsia="黑体" w:cs="仿宋_GB2312"/>
        </w:rPr>
      </w:pPr>
      <w:r>
        <w:rPr>
          <w:rFonts w:hint="eastAsia" w:ascii="new" w:hAnsi="黑体" w:eastAsia="黑体" w:cs="仿宋_GB2312"/>
        </w:rPr>
        <w:t>三、前置部分</w:t>
      </w:r>
    </w:p>
    <w:p w14:paraId="378C585C">
      <w:pPr>
        <w:pStyle w:val="2"/>
        <w:adjustRightInd w:val="0"/>
        <w:snapToGrid w:val="0"/>
        <w:spacing w:line="380" w:lineRule="exact"/>
        <w:ind w:firstLine="480" w:firstLineChars="200"/>
        <w:rPr>
          <w:rFonts w:ascii="new" w:hAnsi="new" w:eastAsia="仿宋_GB2312" w:cs="仿宋_GB2312"/>
        </w:rPr>
      </w:pPr>
      <w:r>
        <w:rPr>
          <w:rFonts w:hint="eastAsia" w:ascii="new" w:hAnsi="new" w:eastAsia="仿宋_GB2312" w:cs="仿宋_GB2312"/>
        </w:rPr>
        <w:t>标  题：字数不超过</w:t>
      </w:r>
      <w:r>
        <w:rPr>
          <w:rFonts w:ascii="new" w:hAnsi="new" w:eastAsia="仿宋_GB2312" w:cs="仿宋_GB2312"/>
        </w:rPr>
        <w:t>20字</w:t>
      </w:r>
    </w:p>
    <w:p w14:paraId="5496631E">
      <w:pPr>
        <w:pStyle w:val="2"/>
        <w:adjustRightInd w:val="0"/>
        <w:snapToGrid w:val="0"/>
        <w:spacing w:line="380" w:lineRule="exact"/>
        <w:ind w:firstLine="480" w:firstLineChars="200"/>
        <w:rPr>
          <w:rFonts w:ascii="new" w:hAnsi="new" w:eastAsia="仿宋_GB2312" w:cs="仿宋_GB2312"/>
        </w:rPr>
      </w:pPr>
      <w:r>
        <w:rPr>
          <w:rFonts w:hint="eastAsia" w:ascii="new" w:hAnsi="new" w:eastAsia="仿宋_GB2312" w:cs="仿宋_GB2312"/>
        </w:rPr>
        <w:t>摘  要：字数一般为</w:t>
      </w:r>
      <w:r>
        <w:rPr>
          <w:rFonts w:ascii="new" w:hAnsi="new" w:eastAsia="仿宋_GB2312" w:cs="仿宋_GB2312"/>
        </w:rPr>
        <w:t>200字左右</w:t>
      </w:r>
    </w:p>
    <w:p w14:paraId="099F47B9">
      <w:pPr>
        <w:pStyle w:val="2"/>
        <w:adjustRightInd w:val="0"/>
        <w:snapToGrid w:val="0"/>
        <w:spacing w:line="380" w:lineRule="exact"/>
        <w:ind w:firstLine="480" w:firstLineChars="200"/>
        <w:rPr>
          <w:rFonts w:ascii="new" w:hAnsi="new" w:eastAsia="仿宋_GB2312" w:cs="仿宋_GB2312"/>
        </w:rPr>
      </w:pPr>
      <w:r>
        <w:rPr>
          <w:rFonts w:hint="eastAsia" w:ascii="new" w:hAnsi="new" w:eastAsia="仿宋_GB2312" w:cs="仿宋_GB2312"/>
        </w:rPr>
        <w:t>关键词</w:t>
      </w:r>
      <w:r>
        <w:rPr>
          <w:rFonts w:ascii="new" w:hAnsi="new" w:eastAsia="仿宋_GB2312" w:cs="仿宋_GB2312"/>
        </w:rPr>
        <w:t>:</w:t>
      </w:r>
      <w:r>
        <w:rPr>
          <w:rFonts w:hint="eastAsia" w:ascii="new" w:hAnsi="new" w:eastAsia="仿宋_GB2312" w:cs="仿宋_GB2312"/>
        </w:rPr>
        <w:t xml:space="preserve">  </w:t>
      </w:r>
      <w:r>
        <w:rPr>
          <w:rFonts w:ascii="new" w:hAnsi="new" w:eastAsia="仿宋_GB2312" w:cs="仿宋_GB2312"/>
        </w:rPr>
        <w:t>3至7个</w:t>
      </w:r>
    </w:p>
    <w:p w14:paraId="10A5E8D4">
      <w:pPr>
        <w:pStyle w:val="2"/>
        <w:adjustRightInd w:val="0"/>
        <w:snapToGrid w:val="0"/>
        <w:spacing w:line="380" w:lineRule="exact"/>
        <w:ind w:firstLine="480" w:firstLineChars="200"/>
        <w:rPr>
          <w:rFonts w:ascii="new" w:hAnsi="new" w:eastAsia="黑体" w:cs="仿宋_GB2312"/>
        </w:rPr>
      </w:pPr>
      <w:r>
        <w:rPr>
          <w:rFonts w:hint="eastAsia" w:ascii="new" w:hAnsi="黑体" w:eastAsia="黑体" w:cs="仿宋_GB2312"/>
        </w:rPr>
        <w:t>四、主体部分</w:t>
      </w:r>
    </w:p>
    <w:p w14:paraId="577EE684">
      <w:pPr>
        <w:pStyle w:val="2"/>
        <w:adjustRightInd w:val="0"/>
        <w:snapToGrid w:val="0"/>
        <w:spacing w:line="380" w:lineRule="exact"/>
        <w:ind w:firstLine="480" w:firstLineChars="200"/>
        <w:rPr>
          <w:rFonts w:ascii="new" w:hAnsi="new" w:eastAsia="仿宋_GB2312" w:cs="仿宋_GB2312"/>
        </w:rPr>
      </w:pPr>
      <w:r>
        <w:rPr>
          <w:rFonts w:hint="eastAsia" w:ascii="new" w:hAnsi="new" w:eastAsia="仿宋_GB2312" w:cs="仿宋_GB2312"/>
        </w:rPr>
        <w:t>论文主体论述部分应层次分明、数据可靠、图表规范，文字简炼、说明透彻、推理严谨、立论正确。文中如出现非通用性的新名词、新术语，</w:t>
      </w:r>
      <w:r>
        <w:rPr>
          <w:rFonts w:hint="eastAsia" w:ascii="new" w:hAnsi="new" w:eastAsia="仿宋_GB2312" w:cs="仿宋_GB2312"/>
          <w:lang w:eastAsia="zh-CN"/>
        </w:rPr>
        <w:t>需</w:t>
      </w:r>
      <w:r>
        <w:rPr>
          <w:rFonts w:hint="eastAsia" w:ascii="new" w:hAnsi="new" w:eastAsia="仿宋_GB2312" w:cs="仿宋_GB2312"/>
        </w:rPr>
        <w:t>作相应解释。篇幅控制在</w:t>
      </w:r>
      <w:r>
        <w:rPr>
          <w:rFonts w:ascii="new" w:hAnsi="new" w:eastAsia="仿宋_GB2312" w:cs="仿宋_GB2312"/>
        </w:rPr>
        <w:t>5000字以内。</w:t>
      </w:r>
    </w:p>
    <w:p w14:paraId="5C90B459">
      <w:pPr>
        <w:pStyle w:val="2"/>
        <w:adjustRightInd w:val="0"/>
        <w:snapToGrid w:val="0"/>
        <w:spacing w:line="380" w:lineRule="exact"/>
        <w:ind w:firstLine="480" w:firstLineChars="200"/>
        <w:rPr>
          <w:rFonts w:ascii="new" w:hAnsi="黑体" w:eastAsia="黑体" w:cs="仿宋_GB2312"/>
        </w:rPr>
      </w:pPr>
      <w:r>
        <w:rPr>
          <w:rFonts w:hint="eastAsia" w:ascii="new" w:hAnsi="黑体" w:eastAsia="黑体" w:cs="仿宋_GB2312"/>
        </w:rPr>
        <w:t>五、参考文献</w:t>
      </w:r>
    </w:p>
    <w:p w14:paraId="1997B722">
      <w:pPr>
        <w:pStyle w:val="2"/>
        <w:adjustRightInd w:val="0"/>
        <w:snapToGrid w:val="0"/>
        <w:spacing w:line="380" w:lineRule="exact"/>
        <w:ind w:firstLine="480" w:firstLineChars="200"/>
        <w:rPr>
          <w:rFonts w:ascii="new" w:hAnsi="new" w:eastAsia="仿宋_GB2312" w:cs="仿宋_GB2312"/>
        </w:rPr>
      </w:pPr>
      <w:r>
        <w:rPr>
          <w:rFonts w:hint="eastAsia" w:ascii="new" w:hAnsi="new" w:eastAsia="仿宋_GB2312" w:cs="仿宋_GB2312"/>
        </w:rPr>
        <w:t>遵照国家标准《信息与文献参考文献著录规则》（</w:t>
      </w:r>
      <w:r>
        <w:rPr>
          <w:rFonts w:ascii="new" w:hAnsi="new" w:eastAsia="仿宋_GB2312" w:cs="仿宋_GB2312"/>
        </w:rPr>
        <w:t>GB/T7714-2015）执行。所有被引用文献均要列入参考文献中</w:t>
      </w:r>
      <w:r>
        <w:rPr>
          <w:rFonts w:hint="eastAsia" w:ascii="new" w:hAnsi="new" w:eastAsia="仿宋_GB2312" w:cs="仿宋_GB2312"/>
        </w:rPr>
        <w:t>，编排格式如下：</w:t>
      </w:r>
    </w:p>
    <w:p w14:paraId="2666E50C">
      <w:pPr>
        <w:pStyle w:val="2"/>
        <w:adjustRightInd w:val="0"/>
        <w:snapToGrid w:val="0"/>
        <w:spacing w:line="380" w:lineRule="exact"/>
        <w:ind w:firstLine="480" w:firstLineChars="200"/>
        <w:rPr>
          <w:rFonts w:ascii="new" w:hAnsi="new" w:eastAsia="仿宋_GB2312" w:cs="仿宋_GB2312"/>
        </w:rPr>
      </w:pPr>
      <w:r>
        <w:rPr>
          <w:rFonts w:hint="eastAsia" w:ascii="new" w:hAnsi="new" w:eastAsia="仿宋_GB2312" w:cs="仿宋_GB2312"/>
        </w:rPr>
        <w:t>专著：</w:t>
      </w:r>
      <w:r>
        <w:rPr>
          <w:rFonts w:ascii="new" w:hAnsi="new" w:eastAsia="仿宋_GB2312" w:cs="仿宋_GB2312"/>
        </w:rPr>
        <w:t>[</w:t>
      </w:r>
      <w:r>
        <w:rPr>
          <w:rFonts w:hint="eastAsia" w:ascii="new" w:hAnsi="new" w:eastAsia="仿宋_GB2312" w:cs="仿宋_GB2312"/>
        </w:rPr>
        <w:t>序号</w:t>
      </w:r>
      <w:r>
        <w:rPr>
          <w:rFonts w:ascii="new" w:hAnsi="new" w:eastAsia="仿宋_GB2312" w:cs="仿宋_GB2312"/>
        </w:rPr>
        <w:t>]</w:t>
      </w:r>
      <w:r>
        <w:rPr>
          <w:rFonts w:hint="eastAsia" w:ascii="new" w:hAnsi="new" w:eastAsia="仿宋_GB2312" w:cs="仿宋_GB2312"/>
        </w:rPr>
        <w:t>作者</w:t>
      </w:r>
      <w:r>
        <w:rPr>
          <w:rFonts w:ascii="new" w:hAnsi="new" w:eastAsia="仿宋_GB2312" w:cs="仿宋_GB2312"/>
        </w:rPr>
        <w:t>.</w:t>
      </w:r>
      <w:r>
        <w:rPr>
          <w:rFonts w:hint="eastAsia" w:ascii="new" w:hAnsi="new" w:eastAsia="仿宋_GB2312" w:cs="仿宋_GB2312"/>
        </w:rPr>
        <w:t>题名</w:t>
      </w:r>
      <w:r>
        <w:rPr>
          <w:rFonts w:ascii="new" w:hAnsi="new" w:eastAsia="仿宋_GB2312" w:cs="仿宋_GB2312"/>
        </w:rPr>
        <w:t>[</w:t>
      </w:r>
      <w:r>
        <w:rPr>
          <w:rFonts w:hint="eastAsia" w:ascii="new" w:hAnsi="new" w:eastAsia="仿宋_GB2312" w:cs="仿宋_GB2312"/>
        </w:rPr>
        <w:t>文献类型标志</w:t>
      </w:r>
      <w:r>
        <w:rPr>
          <w:rFonts w:ascii="new" w:hAnsi="new" w:eastAsia="仿宋_GB2312" w:cs="仿宋_GB2312"/>
        </w:rPr>
        <w:t>].</w:t>
      </w:r>
      <w:r>
        <w:rPr>
          <w:rFonts w:hint="eastAsia" w:ascii="new" w:hAnsi="new" w:eastAsia="仿宋_GB2312" w:cs="仿宋_GB2312"/>
        </w:rPr>
        <w:t>出版地：出版者，出版年份：起止页码</w:t>
      </w:r>
    </w:p>
    <w:p w14:paraId="65C3263A">
      <w:pPr>
        <w:pStyle w:val="2"/>
        <w:adjustRightInd w:val="0"/>
        <w:snapToGrid w:val="0"/>
        <w:spacing w:line="380" w:lineRule="exact"/>
        <w:ind w:firstLine="480" w:firstLineChars="200"/>
        <w:rPr>
          <w:rFonts w:ascii="new" w:hAnsi="new" w:eastAsia="仿宋_GB2312" w:cs="仿宋_GB2312"/>
        </w:rPr>
      </w:pPr>
      <w:r>
        <w:rPr>
          <w:rFonts w:hint="eastAsia" w:ascii="new" w:hAnsi="new" w:eastAsia="仿宋_GB2312" w:cs="仿宋_GB2312"/>
        </w:rPr>
        <w:t>学术期刊：</w:t>
      </w:r>
      <w:r>
        <w:rPr>
          <w:rFonts w:ascii="new" w:hAnsi="new" w:eastAsia="仿宋_GB2312" w:cs="仿宋_GB2312"/>
        </w:rPr>
        <w:t>[</w:t>
      </w:r>
      <w:r>
        <w:rPr>
          <w:rFonts w:hint="eastAsia" w:ascii="new" w:hAnsi="new" w:eastAsia="仿宋_GB2312" w:cs="仿宋_GB2312"/>
        </w:rPr>
        <w:t>序号</w:t>
      </w:r>
      <w:r>
        <w:rPr>
          <w:rFonts w:ascii="new" w:hAnsi="new" w:eastAsia="仿宋_GB2312" w:cs="仿宋_GB2312"/>
        </w:rPr>
        <w:t>]</w:t>
      </w:r>
      <w:r>
        <w:rPr>
          <w:rFonts w:hint="eastAsia" w:ascii="new" w:hAnsi="new" w:eastAsia="仿宋_GB2312" w:cs="仿宋_GB2312"/>
        </w:rPr>
        <w:t>作者</w:t>
      </w:r>
      <w:r>
        <w:rPr>
          <w:rFonts w:ascii="new" w:hAnsi="new" w:eastAsia="仿宋_GB2312" w:cs="仿宋_GB2312"/>
        </w:rPr>
        <w:t>.</w:t>
      </w:r>
      <w:r>
        <w:rPr>
          <w:rFonts w:hint="eastAsia" w:ascii="new" w:hAnsi="new" w:eastAsia="仿宋_GB2312" w:cs="仿宋_GB2312"/>
        </w:rPr>
        <w:t>文献题名</w:t>
      </w:r>
      <w:r>
        <w:rPr>
          <w:rFonts w:ascii="new" w:hAnsi="new" w:eastAsia="仿宋_GB2312" w:cs="仿宋_GB2312"/>
        </w:rPr>
        <w:t>[</w:t>
      </w:r>
      <w:r>
        <w:rPr>
          <w:rFonts w:hint="eastAsia" w:ascii="new" w:hAnsi="new" w:eastAsia="仿宋_GB2312" w:cs="仿宋_GB2312"/>
        </w:rPr>
        <w:t>文献类型标志</w:t>
      </w:r>
      <w:r>
        <w:rPr>
          <w:rFonts w:ascii="new" w:hAnsi="new" w:eastAsia="仿宋_GB2312" w:cs="仿宋_GB2312"/>
        </w:rPr>
        <w:t>].</w:t>
      </w:r>
      <w:r>
        <w:rPr>
          <w:rFonts w:hint="eastAsia" w:ascii="new" w:hAnsi="new" w:eastAsia="仿宋_GB2312" w:cs="仿宋_GB2312"/>
        </w:rPr>
        <w:t>刊名</w:t>
      </w:r>
      <w:r>
        <w:rPr>
          <w:rFonts w:ascii="new" w:hAnsi="new" w:eastAsia="仿宋_GB2312" w:cs="仿宋_GB2312"/>
        </w:rPr>
        <w:t>.</w:t>
      </w:r>
      <w:r>
        <w:rPr>
          <w:rFonts w:hint="eastAsia" w:ascii="new" w:hAnsi="new" w:eastAsia="仿宋_GB2312" w:cs="仿宋_GB2312"/>
        </w:rPr>
        <w:t>年，卷（期）号，起止页码</w:t>
      </w:r>
    </w:p>
    <w:p w14:paraId="384A35A0">
      <w:pPr>
        <w:pStyle w:val="2"/>
        <w:adjustRightInd w:val="0"/>
        <w:snapToGrid w:val="0"/>
        <w:spacing w:line="380" w:lineRule="exact"/>
        <w:ind w:firstLine="480" w:firstLineChars="200"/>
        <w:rPr>
          <w:rFonts w:ascii="new" w:hAnsi="new" w:eastAsia="仿宋_GB2312" w:cs="仿宋_GB2312"/>
        </w:rPr>
      </w:pPr>
      <w:r>
        <w:rPr>
          <w:rFonts w:hint="eastAsia" w:ascii="new" w:hAnsi="new" w:eastAsia="仿宋_GB2312" w:cs="仿宋_GB2312"/>
        </w:rPr>
        <w:t>学位论文：</w:t>
      </w:r>
      <w:r>
        <w:rPr>
          <w:rFonts w:ascii="new" w:hAnsi="new" w:eastAsia="仿宋_GB2312" w:cs="仿宋_GB2312"/>
        </w:rPr>
        <w:t>[</w:t>
      </w:r>
      <w:r>
        <w:rPr>
          <w:rFonts w:hint="eastAsia" w:ascii="new" w:hAnsi="new" w:eastAsia="仿宋_GB2312" w:cs="仿宋_GB2312"/>
        </w:rPr>
        <w:t>序号</w:t>
      </w:r>
      <w:r>
        <w:rPr>
          <w:rFonts w:ascii="new" w:hAnsi="new" w:eastAsia="仿宋_GB2312" w:cs="仿宋_GB2312"/>
        </w:rPr>
        <w:t>]</w:t>
      </w:r>
      <w:r>
        <w:rPr>
          <w:rFonts w:hint="eastAsia" w:ascii="new" w:hAnsi="new" w:eastAsia="仿宋_GB2312" w:cs="仿宋_GB2312"/>
        </w:rPr>
        <w:t>作者</w:t>
      </w:r>
      <w:r>
        <w:rPr>
          <w:rFonts w:ascii="new" w:hAnsi="new" w:eastAsia="仿宋_GB2312" w:cs="仿宋_GB2312"/>
        </w:rPr>
        <w:t>.</w:t>
      </w:r>
      <w:r>
        <w:rPr>
          <w:rFonts w:hint="eastAsia" w:ascii="new" w:hAnsi="new" w:eastAsia="仿宋_GB2312" w:cs="仿宋_GB2312"/>
        </w:rPr>
        <w:t>论文题目</w:t>
      </w:r>
      <w:r>
        <w:rPr>
          <w:rFonts w:ascii="new" w:hAnsi="new" w:eastAsia="仿宋_GB2312" w:cs="仿宋_GB2312"/>
        </w:rPr>
        <w:t>.[</w:t>
      </w:r>
      <w:r>
        <w:rPr>
          <w:rFonts w:hint="eastAsia" w:ascii="new" w:hAnsi="new" w:eastAsia="仿宋_GB2312" w:cs="仿宋_GB2312"/>
        </w:rPr>
        <w:t>博（硕）士学位论文</w:t>
      </w:r>
      <w:r>
        <w:rPr>
          <w:rFonts w:ascii="new" w:hAnsi="new" w:eastAsia="仿宋_GB2312" w:cs="仿宋_GB2312"/>
        </w:rPr>
        <w:t xml:space="preserve">] </w:t>
      </w:r>
      <w:r>
        <w:rPr>
          <w:rFonts w:hint="eastAsia" w:ascii="new" w:hAnsi="new" w:eastAsia="仿宋_GB2312" w:cs="仿宋_GB2312"/>
        </w:rPr>
        <w:t>授予单位所在地：授予单位，授予年份，起止页码</w:t>
      </w:r>
    </w:p>
    <w:p w14:paraId="521D9B05">
      <w:pPr>
        <w:pStyle w:val="2"/>
        <w:adjustRightInd w:val="0"/>
        <w:snapToGrid w:val="0"/>
        <w:spacing w:line="380" w:lineRule="exact"/>
        <w:ind w:firstLine="480" w:firstLineChars="200"/>
        <w:rPr>
          <w:rFonts w:ascii="new" w:hAnsi="new" w:eastAsia="仿宋_GB2312" w:cs="仿宋_GB2312"/>
        </w:rPr>
      </w:pPr>
      <w:r>
        <w:rPr>
          <w:rFonts w:hint="eastAsia" w:ascii="new" w:hAnsi="new" w:eastAsia="仿宋_GB2312" w:cs="仿宋_GB2312"/>
        </w:rPr>
        <w:t>电子文献：</w:t>
      </w:r>
      <w:r>
        <w:rPr>
          <w:rFonts w:ascii="new" w:hAnsi="new" w:eastAsia="仿宋_GB2312" w:cs="仿宋_GB2312"/>
        </w:rPr>
        <w:t>[</w:t>
      </w:r>
      <w:r>
        <w:rPr>
          <w:rFonts w:hint="eastAsia" w:ascii="new" w:hAnsi="new" w:eastAsia="仿宋_GB2312" w:cs="仿宋_GB2312"/>
        </w:rPr>
        <w:t>序号</w:t>
      </w:r>
      <w:r>
        <w:rPr>
          <w:rFonts w:ascii="new" w:hAnsi="new" w:eastAsia="仿宋_GB2312" w:cs="仿宋_GB2312"/>
        </w:rPr>
        <w:t>]</w:t>
      </w:r>
      <w:r>
        <w:rPr>
          <w:rFonts w:hint="eastAsia" w:ascii="new" w:hAnsi="new" w:eastAsia="仿宋_GB2312" w:cs="仿宋_GB2312"/>
        </w:rPr>
        <w:t>作者</w:t>
      </w:r>
      <w:r>
        <w:rPr>
          <w:rFonts w:ascii="new" w:hAnsi="new" w:eastAsia="仿宋_GB2312" w:cs="仿宋_GB2312"/>
        </w:rPr>
        <w:t>.</w:t>
      </w:r>
      <w:r>
        <w:rPr>
          <w:rFonts w:hint="eastAsia" w:ascii="new" w:hAnsi="new" w:eastAsia="仿宋_GB2312" w:cs="仿宋_GB2312"/>
        </w:rPr>
        <w:t>题名</w:t>
      </w:r>
      <w:r>
        <w:rPr>
          <w:rFonts w:ascii="new" w:hAnsi="new" w:eastAsia="仿宋_GB2312" w:cs="仿宋_GB2312"/>
        </w:rPr>
        <w:t>.</w:t>
      </w:r>
      <w:r>
        <w:rPr>
          <w:rFonts w:hint="eastAsia" w:ascii="new" w:hAnsi="new" w:eastAsia="仿宋_GB2312" w:cs="仿宋_GB2312"/>
        </w:rPr>
        <w:t>出版地，出版日期</w:t>
      </w:r>
      <w:r>
        <w:rPr>
          <w:rFonts w:ascii="new" w:hAnsi="new" w:eastAsia="仿宋_GB2312" w:cs="仿宋_GB2312"/>
        </w:rPr>
        <w:t>.</w:t>
      </w:r>
      <w:r>
        <w:rPr>
          <w:rFonts w:hint="eastAsia" w:ascii="new" w:hAnsi="new" w:eastAsia="仿宋_GB2312" w:cs="仿宋_GB2312"/>
        </w:rPr>
        <w:t>获取和访问路径</w:t>
      </w:r>
      <w:r>
        <w:rPr>
          <w:rFonts w:ascii="new" w:hAnsi="new" w:eastAsia="仿宋_GB2312" w:cs="仿宋_GB2312"/>
        </w:rPr>
        <w:t>.</w:t>
      </w:r>
    </w:p>
    <w:p w14:paraId="0E99FC37">
      <w:pPr>
        <w:pStyle w:val="2"/>
        <w:adjustRightInd w:val="0"/>
        <w:snapToGrid w:val="0"/>
        <w:spacing w:line="380" w:lineRule="exact"/>
        <w:ind w:firstLine="480" w:firstLineChars="200"/>
        <w:rPr>
          <w:rFonts w:ascii="new" w:hAnsi="new" w:eastAsia="仿宋_GB2312" w:cs="仿宋_GB2312"/>
        </w:rPr>
      </w:pPr>
      <w:r>
        <w:rPr>
          <w:rFonts w:hint="eastAsia" w:ascii="new" w:hAnsi="new" w:eastAsia="仿宋_GB2312" w:cs="仿宋_GB2312"/>
        </w:rPr>
        <w:t>报纸文章：</w:t>
      </w:r>
      <w:r>
        <w:rPr>
          <w:rFonts w:ascii="new" w:hAnsi="new" w:eastAsia="仿宋_GB2312" w:cs="仿宋_GB2312"/>
        </w:rPr>
        <w:t>[</w:t>
      </w:r>
      <w:r>
        <w:rPr>
          <w:rFonts w:hint="eastAsia" w:ascii="new" w:hAnsi="new" w:eastAsia="仿宋_GB2312" w:cs="仿宋_GB2312"/>
        </w:rPr>
        <w:t>序号</w:t>
      </w:r>
      <w:r>
        <w:rPr>
          <w:rFonts w:ascii="new" w:hAnsi="new" w:eastAsia="仿宋_GB2312" w:cs="仿宋_GB2312"/>
        </w:rPr>
        <w:t>]</w:t>
      </w:r>
      <w:r>
        <w:rPr>
          <w:rFonts w:hint="eastAsia" w:ascii="new" w:hAnsi="new" w:eastAsia="仿宋_GB2312" w:cs="仿宋_GB2312"/>
        </w:rPr>
        <w:t>主要责任者</w:t>
      </w:r>
      <w:r>
        <w:rPr>
          <w:rFonts w:ascii="new" w:hAnsi="new" w:eastAsia="仿宋_GB2312" w:cs="仿宋_GB2312"/>
        </w:rPr>
        <w:t>.</w:t>
      </w:r>
      <w:r>
        <w:rPr>
          <w:rFonts w:hint="eastAsia" w:ascii="new" w:hAnsi="new" w:eastAsia="仿宋_GB2312" w:cs="仿宋_GB2312"/>
        </w:rPr>
        <w:t>文献题名</w:t>
      </w:r>
      <w:r>
        <w:rPr>
          <w:rFonts w:ascii="new" w:hAnsi="new" w:eastAsia="仿宋_GB2312" w:cs="仿宋_GB2312"/>
        </w:rPr>
        <w:t>[N].</w:t>
      </w:r>
      <w:r>
        <w:rPr>
          <w:rFonts w:hint="eastAsia" w:ascii="new" w:hAnsi="new" w:eastAsia="仿宋_GB2312" w:cs="仿宋_GB2312"/>
        </w:rPr>
        <w:t>报纸名</w:t>
      </w:r>
      <w:r>
        <w:rPr>
          <w:rFonts w:ascii="new" w:hAnsi="new" w:eastAsia="仿宋_GB2312" w:cs="仿宋_GB2312"/>
        </w:rPr>
        <w:t>,</w:t>
      </w:r>
      <w:r>
        <w:rPr>
          <w:rFonts w:hint="eastAsia" w:ascii="new" w:hAnsi="new" w:eastAsia="仿宋_GB2312" w:cs="仿宋_GB2312"/>
        </w:rPr>
        <w:t>出版日期</w:t>
      </w:r>
    </w:p>
    <w:p w14:paraId="34390142">
      <w:pPr>
        <w:pStyle w:val="2"/>
        <w:adjustRightInd w:val="0"/>
        <w:snapToGrid w:val="0"/>
        <w:spacing w:line="380" w:lineRule="exact"/>
        <w:ind w:firstLine="480" w:firstLineChars="200"/>
        <w:rPr>
          <w:rFonts w:ascii="new" w:hAnsi="new" w:eastAsia="黑体" w:cs="仿宋_GB2312"/>
        </w:rPr>
      </w:pPr>
      <w:r>
        <w:rPr>
          <w:rFonts w:hint="eastAsia" w:ascii="new" w:hAnsi="黑体" w:eastAsia="黑体" w:cs="仿宋_GB2312"/>
        </w:rPr>
        <w:t>六、格式要求</w:t>
      </w:r>
    </w:p>
    <w:p w14:paraId="7241566E">
      <w:pPr>
        <w:pStyle w:val="2"/>
        <w:adjustRightInd w:val="0"/>
        <w:snapToGrid w:val="0"/>
        <w:spacing w:line="380" w:lineRule="exact"/>
        <w:ind w:firstLine="480" w:firstLineChars="200"/>
        <w:rPr>
          <w:rFonts w:ascii="new" w:hAnsi="new" w:eastAsia="仿宋_GB2312" w:cs="仿宋_GB2312"/>
        </w:rPr>
      </w:pPr>
      <w:r>
        <w:rPr>
          <w:rFonts w:hint="eastAsia" w:ascii="new" w:hAnsi="new" w:eastAsia="仿宋_GB2312" w:cs="仿宋_GB2312"/>
        </w:rPr>
        <w:t>一级标题用</w:t>
      </w:r>
      <w:r>
        <w:rPr>
          <w:rFonts w:ascii="new" w:hAnsi="new" w:eastAsia="仿宋_GB2312" w:cs="仿宋_GB2312"/>
        </w:rPr>
        <w:t>3</w:t>
      </w:r>
      <w:r>
        <w:rPr>
          <w:rFonts w:hint="eastAsia" w:ascii="new" w:hAnsi="new" w:eastAsia="仿宋_GB2312" w:cs="仿宋_GB2312"/>
        </w:rPr>
        <w:t>号黑体；二级标题用</w:t>
      </w:r>
      <w:r>
        <w:rPr>
          <w:rFonts w:ascii="new" w:hAnsi="new" w:eastAsia="仿宋_GB2312" w:cs="仿宋_GB2312"/>
        </w:rPr>
        <w:t>4</w:t>
      </w:r>
      <w:r>
        <w:rPr>
          <w:rFonts w:hint="eastAsia" w:ascii="new" w:hAnsi="new" w:eastAsia="仿宋_GB2312" w:cs="仿宋_GB2312"/>
        </w:rPr>
        <w:t>号黑体；三级标题用小</w:t>
      </w:r>
      <w:r>
        <w:rPr>
          <w:rFonts w:ascii="new" w:hAnsi="new" w:eastAsia="仿宋_GB2312" w:cs="仿宋_GB2312"/>
        </w:rPr>
        <w:t>4</w:t>
      </w:r>
      <w:r>
        <w:rPr>
          <w:rFonts w:hint="eastAsia" w:ascii="new" w:hAnsi="new" w:eastAsia="仿宋_GB2312" w:cs="仿宋_GB2312"/>
        </w:rPr>
        <w:t>号黑体。正文内容用小</w:t>
      </w:r>
      <w:r>
        <w:rPr>
          <w:rFonts w:ascii="new" w:hAnsi="new" w:eastAsia="仿宋_GB2312" w:cs="仿宋_GB2312"/>
        </w:rPr>
        <w:t>4</w:t>
      </w:r>
      <w:r>
        <w:rPr>
          <w:rFonts w:hint="eastAsia" w:ascii="new" w:hAnsi="new" w:eastAsia="仿宋_GB2312" w:cs="仿宋_GB2312"/>
        </w:rPr>
        <w:t>号宋体，1.5倍行间距。参考文献用5号宋体，位于文章结尾。文章标题下方注明作者信息（五号宋体）：姓名、学校院系、联系手机号、电子邮箱。来稿要求为</w:t>
      </w:r>
      <w:r>
        <w:rPr>
          <w:rFonts w:ascii="new" w:hAnsi="new" w:eastAsia="仿宋_GB2312" w:cs="仿宋_GB2312"/>
        </w:rPr>
        <w:t>word文档，文件名用“论文题目+姓名+</w:t>
      </w:r>
      <w:r>
        <w:rPr>
          <w:rFonts w:hint="eastAsia" w:ascii="new" w:hAnsi="new" w:eastAsia="仿宋_GB2312" w:cs="仿宋_GB2312"/>
          <w:lang w:val="en-US" w:eastAsia="zh-CN"/>
        </w:rPr>
        <w:t>学院</w:t>
      </w:r>
      <w:r>
        <w:rPr>
          <w:rFonts w:ascii="new" w:hAnsi="new" w:eastAsia="仿宋_GB2312" w:cs="仿宋_GB2312"/>
        </w:rPr>
        <w:t>+手机号</w:t>
      </w:r>
      <w:r>
        <w:rPr>
          <w:rFonts w:hint="eastAsia" w:ascii="new" w:hAnsi="new" w:eastAsia="仿宋_GB2312" w:cs="仿宋_GB2312"/>
        </w:rPr>
        <w:t>”。</w:t>
      </w:r>
    </w:p>
    <w:p w14:paraId="657AADA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00"/>
    <w:family w:val="script"/>
    <w:pitch w:val="default"/>
    <w:sig w:usb0="00000000" w:usb1="00000000" w:usb2="00000012" w:usb3="00000000" w:csb0="00040001" w:csb1="00000000"/>
  </w:font>
  <w:font w:name="new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84144D"/>
    <w:rsid w:val="1E84144D"/>
    <w:rsid w:val="6CD1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1022</Words>
  <Characters>1072</Characters>
  <Lines>0</Lines>
  <Paragraphs>0</Paragraphs>
  <TotalTime>0</TotalTime>
  <ScaleCrop>false</ScaleCrop>
  <LinksUpToDate>false</LinksUpToDate>
  <CharactersWithSpaces>1092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2025-05-12T06:04:00Z</dcterms:created>
  <dc:creator>叶召友</dc:creator>
  <cp:lastModifiedBy>叶召友</cp:lastModifiedBy>
  <dcterms:modified xsi:type="dcterms:W3CDTF">2025-05-12T06:11:59Z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C727C00EC3704253A30B2EE1A8F700B4_11</vt:lpwstr>
  </property>
  <property fmtid="{D5CDD505-2E9C-101B-9397-08002B2CF9AE}" pid="4" name="KSOTemplateDocerSaveRecord">
    <vt:lpwstr>eyJoZGlkIjoiN2NjNDkwNWU3ODI3NTEwMzY5NzE5NGNjOGI5YTUzYjAiLCJ1c2VySWQiOiI2ODM5MzQ1MDIifQ==</vt:lpwstr>
  </property>
</Properties>
</file>